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684197">
        <w:rPr>
          <w:rFonts w:ascii="Calibri" w:hAnsi="Calibri" w:cs="Arial"/>
          <w:b/>
          <w:bCs/>
          <w:iCs/>
          <w:color w:val="7F7F7F" w:themeColor="text1" w:themeTint="80"/>
          <w:sz w:val="26"/>
          <w:szCs w:val="26"/>
        </w:rPr>
        <w:t>22 veintidós</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 . . . . . . . . . . . . . . . . . . . . . . . . . . . . . . . . . . . . . . . . . . . . . . . . . . . . .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684197">
        <w:rPr>
          <w:rFonts w:ascii="Calibri" w:hAnsi="Calibri" w:cs="Arial"/>
          <w:b/>
          <w:color w:val="7F7F7F" w:themeColor="text1" w:themeTint="80"/>
          <w:sz w:val="26"/>
          <w:szCs w:val="26"/>
        </w:rPr>
        <w:t>870/2015-JN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E016A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1A17FE">
        <w:rPr>
          <w:rFonts w:ascii="Calibri" w:hAnsi="Calibri" w:cs="Arial"/>
          <w:color w:val="7F7F7F" w:themeColor="text1" w:themeTint="80"/>
          <w:sz w:val="26"/>
          <w:szCs w:val="26"/>
        </w:rPr>
        <w:t>11 once de septiembre</w:t>
      </w:r>
      <w:r w:rsidR="0083431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781AD6">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b/>
          <w:i/>
          <w:iCs/>
          <w:color w:val="7F7F7F" w:themeColor="text1" w:themeTint="80"/>
          <w:sz w:val="26"/>
          <w:szCs w:val="26"/>
        </w:rPr>
      </w:pPr>
    </w:p>
    <w:p w:rsidR="004B3DFC" w:rsidRPr="00781AD6" w:rsidRDefault="004B3DFC" w:rsidP="00781AD6">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1A17FE">
        <w:rPr>
          <w:rFonts w:ascii="Calibri" w:hAnsi="Calibri" w:cs="Calibri"/>
          <w:color w:val="7F7F7F" w:themeColor="text1" w:themeTint="80"/>
          <w:sz w:val="26"/>
          <w:szCs w:val="26"/>
        </w:rPr>
        <w:t>11 once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1A17FE">
        <w:rPr>
          <w:rFonts w:ascii="Calibri" w:hAnsi="Calibri"/>
          <w:color w:val="7F7F7F" w:themeColor="text1" w:themeTint="80"/>
          <w:sz w:val="26"/>
          <w:szCs w:val="26"/>
        </w:rPr>
        <w:t>0600</w:t>
      </w:r>
      <w:r w:rsidR="002919BC">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4F6D9F" w:rsidRPr="004F6D9F">
        <w:rPr>
          <w:rFonts w:ascii="Calibri" w:hAnsi="Calibri"/>
          <w:color w:val="7F7F7F" w:themeColor="text1" w:themeTint="80"/>
          <w:sz w:val="26"/>
          <w:szCs w:val="26"/>
        </w:rPr>
        <w:t>que la dependencia a su cargo llevo a cabo las actuaciones relativas al expediente líneas arriba citado</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781AD6">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781AD6">
        <w:rPr>
          <w:rFonts w:ascii="Calibri" w:hAnsi="Calibri"/>
          <w:bCs/>
          <w:iCs/>
          <w:color w:val="7F7F7F" w:themeColor="text1" w:themeTint="80"/>
          <w:sz w:val="26"/>
          <w:szCs w:val="26"/>
        </w:rPr>
        <w:t xml:space="preserve">. . . . . . </w:t>
      </w:r>
    </w:p>
    <w:p w:rsidR="00BE247E" w:rsidRPr="00BE247E" w:rsidRDefault="00BE247E" w:rsidP="00BE247E">
      <w:pPr>
        <w:ind w:firstLine="708"/>
        <w:jc w:val="both"/>
        <w:rPr>
          <w:rFonts w:ascii="Calibri" w:hAnsi="Calibri"/>
          <w:bCs/>
          <w:iCs/>
          <w:color w:val="7F7F7F" w:themeColor="text1" w:themeTint="80"/>
          <w:sz w:val="26"/>
          <w:szCs w:val="26"/>
        </w:rPr>
      </w:pPr>
    </w:p>
    <w:p w:rsidR="00BE247E" w:rsidRPr="00BE247E" w:rsidRDefault="00BE247E" w:rsidP="00F66F59">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Causales de improcedencia que, para quien resuelve, </w:t>
      </w:r>
      <w:r w:rsidRPr="00BE247E">
        <w:rPr>
          <w:rFonts w:ascii="Calibri" w:hAnsi="Calibri"/>
          <w:b/>
          <w:bCs/>
          <w:iCs/>
          <w:color w:val="7F7F7F" w:themeColor="text1" w:themeTint="80"/>
          <w:sz w:val="26"/>
          <w:szCs w:val="26"/>
        </w:rPr>
        <w:t>no se actualizan</w:t>
      </w:r>
      <w:r w:rsidRPr="00BE247E">
        <w:rPr>
          <w:rFonts w:ascii="Calibri" w:hAnsi="Calibri"/>
          <w:bCs/>
          <w:iCs/>
          <w:color w:val="7F7F7F" w:themeColor="text1" w:themeTint="80"/>
          <w:sz w:val="26"/>
          <w:szCs w:val="26"/>
        </w:rPr>
        <w:t>; pues sí se afectan los intereses jurídicos de</w:t>
      </w:r>
      <w:r>
        <w:rPr>
          <w:rFonts w:ascii="Calibri" w:hAnsi="Calibri"/>
          <w:bCs/>
          <w:iCs/>
          <w:color w:val="7F7F7F" w:themeColor="text1" w:themeTint="80"/>
          <w:sz w:val="26"/>
          <w:szCs w:val="26"/>
        </w:rPr>
        <w:t xml:space="preserve"> la</w:t>
      </w:r>
      <w:r w:rsidRPr="00BE247E">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1A17FE">
        <w:rPr>
          <w:rFonts w:ascii="Calibri" w:hAnsi="Calibri"/>
          <w:bCs/>
          <w:iCs/>
          <w:color w:val="7F7F7F" w:themeColor="text1" w:themeTint="80"/>
          <w:sz w:val="26"/>
          <w:szCs w:val="26"/>
        </w:rPr>
        <w:t>0600</w:t>
      </w:r>
      <w:r w:rsidRPr="00BE247E">
        <w:rPr>
          <w:rFonts w:ascii="Calibri" w:hAnsi="Calibri"/>
          <w:bCs/>
          <w:iCs/>
          <w:color w:val="7F7F7F" w:themeColor="text1" w:themeTint="80"/>
          <w:sz w:val="26"/>
          <w:szCs w:val="26"/>
        </w:rPr>
        <w:t xml:space="preserve">/2015/JA, mismo en el que, de acuerdo a la resolución (presentada por el Director demandado y palpable a foja </w:t>
      </w:r>
      <w:r w:rsidR="0072134A">
        <w:rPr>
          <w:rFonts w:ascii="Calibri" w:hAnsi="Calibri"/>
          <w:bCs/>
          <w:iCs/>
          <w:color w:val="7F7F7F" w:themeColor="text1" w:themeTint="80"/>
          <w:sz w:val="26"/>
          <w:szCs w:val="26"/>
        </w:rPr>
        <w:t>45 cuarenta y cinco</w:t>
      </w:r>
      <w:r w:rsidRPr="00BE247E">
        <w:rPr>
          <w:rFonts w:ascii="Calibri" w:hAnsi="Calibri"/>
          <w:bCs/>
          <w:iCs/>
          <w:color w:val="7F7F7F" w:themeColor="text1" w:themeTint="80"/>
          <w:sz w:val="26"/>
          <w:szCs w:val="26"/>
        </w:rPr>
        <w:t xml:space="preserve">) de fecha </w:t>
      </w:r>
      <w:r w:rsidR="0072134A">
        <w:rPr>
          <w:rFonts w:ascii="Calibri" w:hAnsi="Calibri"/>
          <w:bCs/>
          <w:iCs/>
          <w:color w:val="7F7F7F" w:themeColor="text1" w:themeTint="80"/>
          <w:sz w:val="26"/>
          <w:szCs w:val="26"/>
        </w:rPr>
        <w:t>15 quince de septiembre</w:t>
      </w:r>
      <w:r w:rsidRPr="00BE247E">
        <w:rPr>
          <w:rFonts w:ascii="Calibri" w:hAnsi="Calibri"/>
          <w:bCs/>
          <w:iCs/>
          <w:color w:val="7F7F7F" w:themeColor="text1" w:themeTint="80"/>
          <w:sz w:val="26"/>
          <w:szCs w:val="26"/>
        </w:rPr>
        <w:t xml:space="preserve"> del año 2015 dos mil quince, se le impuso una sanción consistente en una multa,</w:t>
      </w:r>
      <w:r w:rsidR="0072134A">
        <w:rPr>
          <w:rFonts w:ascii="Calibri" w:hAnsi="Calibri"/>
          <w:bCs/>
          <w:iCs/>
          <w:color w:val="7F7F7F" w:themeColor="text1" w:themeTint="80"/>
          <w:sz w:val="26"/>
          <w:szCs w:val="26"/>
        </w:rPr>
        <w:t xml:space="preserve"> respecto de la cual se puede </w:t>
      </w:r>
      <w:proofErr w:type="spellStart"/>
      <w:r w:rsidR="0072134A">
        <w:rPr>
          <w:rFonts w:ascii="Calibri" w:hAnsi="Calibri"/>
          <w:bCs/>
          <w:iCs/>
          <w:color w:val="7F7F7F" w:themeColor="text1" w:themeTint="80"/>
          <w:sz w:val="26"/>
          <w:szCs w:val="26"/>
        </w:rPr>
        <w:t>requirir</w:t>
      </w:r>
      <w:proofErr w:type="spellEnd"/>
      <w:r w:rsidR="0072134A">
        <w:rPr>
          <w:rFonts w:ascii="Calibri" w:hAnsi="Calibri"/>
          <w:bCs/>
          <w:iCs/>
          <w:color w:val="7F7F7F" w:themeColor="text1" w:themeTint="80"/>
          <w:sz w:val="26"/>
          <w:szCs w:val="26"/>
        </w:rPr>
        <w:t xml:space="preserve"> su pago</w:t>
      </w:r>
      <w:r w:rsidR="00781AD6">
        <w:rPr>
          <w:rFonts w:ascii="Calibri" w:hAnsi="Calibri"/>
          <w:bCs/>
          <w:iCs/>
          <w:color w:val="7F7F7F" w:themeColor="text1" w:themeTint="80"/>
          <w:sz w:val="26"/>
          <w:szCs w:val="26"/>
        </w:rPr>
        <w:t>;</w:t>
      </w:r>
      <w:r w:rsidR="0072134A">
        <w:rPr>
          <w:rFonts w:ascii="Calibri" w:hAnsi="Calibri"/>
          <w:bCs/>
          <w:iCs/>
          <w:color w:val="7F7F7F" w:themeColor="text1" w:themeTint="80"/>
          <w:sz w:val="26"/>
          <w:szCs w:val="26"/>
        </w:rPr>
        <w:t xml:space="preserve"> (lo que en la especie ya se dio, pues el actor presentó el requerimiento de pago del crédito </w:t>
      </w:r>
      <w:r w:rsidR="00781AD6">
        <w:rPr>
          <w:rFonts w:ascii="Calibri" w:hAnsi="Calibri"/>
          <w:bCs/>
          <w:iCs/>
          <w:color w:val="7F7F7F" w:themeColor="text1" w:themeTint="80"/>
          <w:sz w:val="26"/>
          <w:szCs w:val="26"/>
        </w:rPr>
        <w:t xml:space="preserve">con número </w:t>
      </w:r>
      <w:r w:rsidR="0072134A">
        <w:rPr>
          <w:rFonts w:ascii="Calibri" w:hAnsi="Calibri"/>
          <w:bCs/>
          <w:iCs/>
          <w:color w:val="7F7F7F" w:themeColor="text1" w:themeTint="80"/>
          <w:sz w:val="26"/>
          <w:szCs w:val="26"/>
        </w:rPr>
        <w:t xml:space="preserve">1148832, respecto de una multa relacionada al expediente citado en líneas anteriores y que es visible en autos a foja </w:t>
      </w:r>
      <w:r w:rsidR="00F66F59">
        <w:rPr>
          <w:rFonts w:ascii="Calibri" w:hAnsi="Calibri"/>
          <w:bCs/>
          <w:iCs/>
          <w:color w:val="7F7F7F" w:themeColor="text1" w:themeTint="80"/>
          <w:sz w:val="26"/>
          <w:szCs w:val="26"/>
        </w:rPr>
        <w:t>55 cincuenta y cinco</w:t>
      </w:r>
      <w:r w:rsidR="0072134A">
        <w:rPr>
          <w:rFonts w:ascii="Calibri" w:hAnsi="Calibri"/>
          <w:bCs/>
          <w:iCs/>
          <w:color w:val="7F7F7F" w:themeColor="text1" w:themeTint="80"/>
          <w:sz w:val="26"/>
          <w:szCs w:val="26"/>
        </w:rPr>
        <w:t>)</w:t>
      </w:r>
      <w:r w:rsidR="00F66F59">
        <w:rPr>
          <w:rFonts w:ascii="Calibri" w:hAnsi="Calibri"/>
          <w:bCs/>
          <w:iCs/>
          <w:color w:val="7F7F7F" w:themeColor="text1" w:themeTint="80"/>
          <w:sz w:val="26"/>
          <w:szCs w:val="26"/>
        </w:rPr>
        <w:t>;</w:t>
      </w:r>
      <w:r w:rsidRPr="00BE247E">
        <w:rPr>
          <w:rFonts w:ascii="Calibri" w:hAnsi="Calibri"/>
          <w:bCs/>
          <w:iCs/>
          <w:color w:val="7F7F7F" w:themeColor="text1" w:themeTint="80"/>
          <w:sz w:val="26"/>
          <w:szCs w:val="26"/>
        </w:rPr>
        <w:t xml:space="preserve"> además de que se clausuró una máquina de juegos de azar que se encontraba al interi</w:t>
      </w:r>
      <w:r w:rsidR="00781AD6">
        <w:rPr>
          <w:rFonts w:ascii="Calibri" w:hAnsi="Calibri"/>
          <w:bCs/>
          <w:iCs/>
          <w:color w:val="7F7F7F" w:themeColor="text1" w:themeTint="80"/>
          <w:sz w:val="26"/>
          <w:szCs w:val="26"/>
        </w:rPr>
        <w:t>or del establecimiento visitado;</w:t>
      </w:r>
      <w:r w:rsidRPr="00BE247E">
        <w:rPr>
          <w:rFonts w:ascii="Calibri" w:hAnsi="Calibri"/>
          <w:bCs/>
          <w:iCs/>
          <w:color w:val="7F7F7F" w:themeColor="text1" w:themeTint="80"/>
          <w:sz w:val="26"/>
          <w:szCs w:val="26"/>
        </w:rPr>
        <w:t xml:space="preserve"> lo que sí afecta la </w:t>
      </w:r>
      <w:r>
        <w:rPr>
          <w:rFonts w:ascii="Calibri" w:hAnsi="Calibri"/>
          <w:bCs/>
          <w:iCs/>
          <w:color w:val="7F7F7F" w:themeColor="text1" w:themeTint="80"/>
          <w:sz w:val="26"/>
          <w:szCs w:val="26"/>
        </w:rPr>
        <w:t>esfera de derechos de la</w:t>
      </w:r>
      <w:r w:rsidRPr="00BE247E">
        <w:rPr>
          <w:rFonts w:ascii="Calibri" w:hAnsi="Calibri"/>
          <w:bCs/>
          <w:iCs/>
          <w:color w:val="7F7F7F" w:themeColor="text1" w:themeTint="80"/>
          <w:sz w:val="26"/>
          <w:szCs w:val="26"/>
        </w:rPr>
        <w:t xml:space="preserve"> actor</w:t>
      </w:r>
      <w:r>
        <w:rPr>
          <w:rFonts w:ascii="Calibri" w:hAnsi="Calibri"/>
          <w:bCs/>
          <w:iCs/>
          <w:color w:val="7F7F7F" w:themeColor="text1" w:themeTint="80"/>
          <w:sz w:val="26"/>
          <w:szCs w:val="26"/>
        </w:rPr>
        <w:t>a</w:t>
      </w:r>
      <w:r w:rsidRPr="00BE247E">
        <w:rPr>
          <w:rFonts w:ascii="Calibri" w:hAnsi="Calibri"/>
          <w:bCs/>
          <w:iCs/>
          <w:color w:val="7F7F7F" w:themeColor="text1" w:themeTint="80"/>
          <w:sz w:val="26"/>
          <w:szCs w:val="26"/>
        </w:rPr>
        <w:t>, sobre todo porque se considera que pudiera existir violación al derecho humano al debido proceso; por lo que al no prosperar las causales de improcedencia señaladas, ésta sí se encuentra legitimada para promover el proceso que nos ocupa. . . . . . . . . . . . . . . .</w:t>
      </w:r>
      <w:r w:rsidR="00781AD6">
        <w:rPr>
          <w:rFonts w:ascii="Calibri" w:hAnsi="Calibri"/>
          <w:bCs/>
          <w:iCs/>
          <w:color w:val="7F7F7F" w:themeColor="text1" w:themeTint="80"/>
          <w:sz w:val="26"/>
          <w:szCs w:val="26"/>
        </w:rPr>
        <w:t xml:space="preserve"> </w:t>
      </w:r>
      <w:r w:rsidRPr="00BE247E">
        <w:rPr>
          <w:rFonts w:ascii="Calibri" w:hAnsi="Calibri"/>
          <w:bCs/>
          <w:iCs/>
          <w:color w:val="7F7F7F" w:themeColor="text1" w:themeTint="80"/>
          <w:sz w:val="26"/>
          <w:szCs w:val="26"/>
        </w:rPr>
        <w:t>. . . . . . . . . . . . . . . .</w:t>
      </w:r>
      <w:r w:rsidR="00781AD6">
        <w:rPr>
          <w:rFonts w:ascii="Calibri" w:hAnsi="Calibri"/>
          <w:bCs/>
          <w:iCs/>
          <w:color w:val="7F7F7F" w:themeColor="text1" w:themeTint="80"/>
          <w:sz w:val="26"/>
          <w:szCs w:val="26"/>
        </w:rPr>
        <w:t xml:space="preserve"> . . . . . . . </w:t>
      </w:r>
    </w:p>
    <w:p w:rsidR="00BE247E" w:rsidRPr="00BE247E" w:rsidRDefault="00BE247E" w:rsidP="00BE247E">
      <w:pPr>
        <w:ind w:firstLine="708"/>
        <w:jc w:val="both"/>
        <w:rPr>
          <w:rFonts w:ascii="Calibri" w:hAnsi="Calibri"/>
          <w:bCs/>
          <w:iCs/>
          <w:color w:val="7F7F7F" w:themeColor="text1" w:themeTint="80"/>
          <w:sz w:val="26"/>
          <w:szCs w:val="26"/>
        </w:rPr>
      </w:pPr>
    </w:p>
    <w:p w:rsidR="00E50512" w:rsidRPr="00E50512"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Continuando con el análisis de las causales de improcedencia o sobreseimiento, de manera oficiosa, este Juzgador </w:t>
      </w:r>
      <w:r w:rsidRPr="00BE247E">
        <w:rPr>
          <w:rFonts w:ascii="Calibri" w:hAnsi="Calibri"/>
          <w:b/>
          <w:bCs/>
          <w:iCs/>
          <w:color w:val="7F7F7F" w:themeColor="text1" w:themeTint="80"/>
          <w:sz w:val="26"/>
          <w:szCs w:val="26"/>
        </w:rPr>
        <w:t>no percibe la actualización</w:t>
      </w:r>
      <w:r w:rsidRPr="00BE247E">
        <w:rPr>
          <w:rFonts w:ascii="Calibri" w:hAnsi="Calibri"/>
          <w:bCs/>
          <w:iCs/>
          <w:color w:val="7F7F7F" w:themeColor="text1" w:themeTint="80"/>
          <w:sz w:val="26"/>
          <w:szCs w:val="26"/>
        </w:rPr>
        <w:t xml:space="preserve"> de alguna 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es procedente el presente proceso respecto de esos actos administrativos. . . . .</w:t>
      </w:r>
      <w:r w:rsidR="00045E04">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1A17FE">
        <w:rPr>
          <w:rFonts w:ascii="Calibri" w:hAnsi="Calibri"/>
          <w:color w:val="7F7F7F" w:themeColor="text1" w:themeTint="80"/>
          <w:sz w:val="26"/>
          <w:szCs w:val="26"/>
        </w:rPr>
        <w:t>11 once de septiembre</w:t>
      </w:r>
      <w:r w:rsidRPr="00BF5CA7">
        <w:rPr>
          <w:rFonts w:ascii="Calibri" w:hAnsi="Calibri"/>
          <w:color w:val="7F7F7F" w:themeColor="text1" w:themeTint="80"/>
          <w:sz w:val="26"/>
          <w:szCs w:val="26"/>
        </w:rPr>
        <w:t xml:space="preserve"> del año 2015 dos mil quince, dentro del expediente número </w:t>
      </w:r>
      <w:r w:rsidR="002919BC">
        <w:rPr>
          <w:rFonts w:ascii="Calibri" w:hAnsi="Calibri"/>
          <w:color w:val="7F7F7F" w:themeColor="text1" w:themeTint="80"/>
          <w:sz w:val="26"/>
          <w:szCs w:val="26"/>
        </w:rPr>
        <w:t>DGFC/DT/</w:t>
      </w:r>
      <w:r w:rsidR="001A17FE">
        <w:rPr>
          <w:rFonts w:ascii="Calibri" w:hAnsi="Calibri"/>
          <w:color w:val="7F7F7F" w:themeColor="text1" w:themeTint="80"/>
          <w:sz w:val="26"/>
          <w:szCs w:val="26"/>
        </w:rPr>
        <w:t>0600</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lastRenderedPageBreak/>
        <w:t xml:space="preserve">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w:t>
      </w:r>
      <w:r w:rsidR="00D3626F">
        <w:rPr>
          <w:rFonts w:ascii="Calibri" w:hAnsi="Calibri"/>
          <w:color w:val="7F7F7F" w:themeColor="text1" w:themeTint="80"/>
          <w:sz w:val="26"/>
          <w:szCs w:val="26"/>
        </w:rPr>
        <w:t xml:space="preserve">urarla.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1013F2" w:rsidRPr="001013F2">
        <w:rPr>
          <w:rFonts w:ascii="Calibri" w:hAnsi="Calibri" w:cs="Calibri"/>
          <w:iCs/>
          <w:color w:val="7F7F7F" w:themeColor="text1" w:themeTint="80"/>
          <w:sz w:val="26"/>
          <w:szCs w:val="26"/>
        </w:rPr>
        <w:t>no se encuentra en aptitud de negar los hechos, pues precisamente su indebido proceder y la falta de cumplimiento a la normatividad, es lo que motiva la instauración del procedimiento</w:t>
      </w:r>
      <w:r w:rsidR="00EC7D6A">
        <w:rPr>
          <w:rFonts w:ascii="Calibri" w:hAnsi="Calibri" w:cs="Calibri"/>
          <w:iCs/>
          <w:color w:val="7F7F7F" w:themeColor="text1" w:themeTint="80"/>
          <w:sz w:val="26"/>
          <w:szCs w:val="26"/>
        </w:rPr>
        <w:t>. . . . . . . . . . . . . . .</w:t>
      </w:r>
      <w:r w:rsidR="00D77803">
        <w:rPr>
          <w:rFonts w:ascii="Calibri" w:hAnsi="Calibri" w:cs="Calibri"/>
          <w:iCs/>
          <w:color w:val="7F7F7F" w:themeColor="text1" w:themeTint="80"/>
          <w:sz w:val="26"/>
          <w:szCs w:val="26"/>
        </w:rPr>
        <w:t xml:space="preserve"> . . . . . . . . . . . . . . . . . . . . . . . . . . </w:t>
      </w:r>
      <w:r w:rsidR="00D3626F">
        <w:rPr>
          <w:rFonts w:ascii="Calibri" w:hAnsi="Calibri" w:cs="Calibri"/>
          <w:iCs/>
          <w:color w:val="7F7F7F" w:themeColor="text1" w:themeTint="80"/>
          <w:sz w:val="26"/>
          <w:szCs w:val="26"/>
        </w:rPr>
        <w:t xml:space="preserve">. . </w:t>
      </w:r>
    </w:p>
    <w:p w:rsidR="00D3626F" w:rsidRDefault="00D3626F" w:rsidP="00D3626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870/2015-JN</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D3626F">
        <w:rPr>
          <w:rFonts w:ascii="Calibri" w:hAnsi="Calibri" w:cs="Calibri"/>
          <w:i/>
          <w:color w:val="7F7F7F" w:themeColor="text1" w:themeTint="80"/>
          <w:sz w:val="26"/>
          <w:szCs w:val="26"/>
        </w:rPr>
        <w:t>“</w:t>
      </w:r>
      <w:proofErr w:type="spellStart"/>
      <w:r w:rsidRPr="00D3626F">
        <w:rPr>
          <w:rFonts w:ascii="Calibri" w:hAnsi="Calibri" w:cs="Calibri"/>
          <w:i/>
          <w:color w:val="7F7F7F" w:themeColor="text1" w:themeTint="80"/>
          <w:sz w:val="26"/>
          <w:szCs w:val="26"/>
        </w:rPr>
        <w:t>litis</w:t>
      </w:r>
      <w:proofErr w:type="spellEnd"/>
      <w:r w:rsidRPr="00D3626F">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1A17FE">
        <w:rPr>
          <w:rFonts w:ascii="Calibri" w:hAnsi="Calibri"/>
          <w:color w:val="7F7F7F" w:themeColor="text1" w:themeTint="80"/>
          <w:sz w:val="26"/>
          <w:szCs w:val="26"/>
        </w:rPr>
        <w:t>11 once de septiembre</w:t>
      </w:r>
      <w:r w:rsidRPr="00BF5CA7">
        <w:rPr>
          <w:rFonts w:ascii="Calibri" w:hAnsi="Calibri"/>
          <w:color w:val="7F7F7F" w:themeColor="text1" w:themeTint="80"/>
          <w:sz w:val="26"/>
          <w:szCs w:val="26"/>
        </w:rPr>
        <w:t xml:space="preserve"> del año 2015 dos mil quince, emitida dentro del expediente con número </w:t>
      </w:r>
      <w:r w:rsidR="002919BC">
        <w:rPr>
          <w:rFonts w:ascii="Calibri" w:hAnsi="Calibri"/>
          <w:color w:val="7F7F7F" w:themeColor="text1" w:themeTint="80"/>
          <w:sz w:val="26"/>
          <w:szCs w:val="26"/>
        </w:rPr>
        <w:t>DGFC/DT/</w:t>
      </w:r>
      <w:r w:rsidR="001A17FE">
        <w:rPr>
          <w:rFonts w:ascii="Calibri" w:hAnsi="Calibri"/>
          <w:color w:val="7F7F7F" w:themeColor="text1" w:themeTint="80"/>
          <w:sz w:val="26"/>
          <w:szCs w:val="26"/>
        </w:rPr>
        <w:t>0600</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D3626F">
        <w:rPr>
          <w:rFonts w:ascii="Calibri" w:hAnsi="Calibri" w:cs="Arial"/>
          <w:color w:val="7F7F7F" w:themeColor="text1" w:themeTint="80"/>
          <w:sz w:val="26"/>
          <w:szCs w:val="26"/>
        </w:rPr>
        <w:t>.</w:t>
      </w:r>
    </w:p>
    <w:p w:rsidR="00D77803" w:rsidRDefault="00D77803" w:rsidP="00D3626F">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w:t>
      </w:r>
      <w:r w:rsidRPr="00BF5CA7">
        <w:rPr>
          <w:rFonts w:ascii="Calibri" w:hAnsi="Calibri"/>
          <w:color w:val="7F7F7F" w:themeColor="text1" w:themeTint="80"/>
          <w:sz w:val="26"/>
          <w:szCs w:val="26"/>
        </w:rPr>
        <w:lastRenderedPageBreak/>
        <w:t>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C72228">
        <w:rPr>
          <w:rFonts w:asciiTheme="minorHAnsi" w:hAnsiTheme="minorHAnsi"/>
          <w:color w:val="7F7F7F" w:themeColor="text1" w:themeTint="80"/>
          <w:sz w:val="26"/>
          <w:szCs w:val="26"/>
        </w:rPr>
        <w:t>genérica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4A1537">
        <w:rPr>
          <w:rFonts w:asciiTheme="minorHAnsi" w:hAnsiTheme="minorHAnsi"/>
          <w:color w:val="7F7F7F" w:themeColor="text1" w:themeTint="80"/>
          <w:sz w:val="26"/>
          <w:szCs w:val="26"/>
        </w:rPr>
        <w:t xml:space="preserve">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lastRenderedPageBreak/>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4A1537">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4A1537" w:rsidRDefault="00706056" w:rsidP="00A8545F">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 xml:space="preserve">con cruce de apuestas en cualquiera de sus </w:t>
      </w:r>
    </w:p>
    <w:p w:rsidR="004A1537" w:rsidRDefault="004A1537" w:rsidP="004A15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870/2015-JN</w:t>
      </w:r>
    </w:p>
    <w:p w:rsidR="004A1537" w:rsidRDefault="004A1537" w:rsidP="00A8545F">
      <w:pPr>
        <w:pStyle w:val="Default"/>
        <w:ind w:firstLine="708"/>
        <w:jc w:val="both"/>
        <w:rPr>
          <w:rFonts w:asciiTheme="minorHAnsi" w:hAnsiTheme="minorHAnsi"/>
          <w:color w:val="7F7F7F" w:themeColor="text1" w:themeTint="80"/>
          <w:sz w:val="26"/>
          <w:szCs w:val="26"/>
        </w:rPr>
      </w:pPr>
    </w:p>
    <w:p w:rsidR="00343E70" w:rsidRPr="00A8545F" w:rsidRDefault="00DB641E" w:rsidP="004A1537">
      <w:pPr>
        <w:pStyle w:val="Default"/>
        <w:jc w:val="both"/>
        <w:rPr>
          <w:rFonts w:asciiTheme="minorHAnsi" w:hAnsiTheme="minorHAnsi"/>
          <w:color w:val="FF0000"/>
          <w:sz w:val="26"/>
          <w:szCs w:val="26"/>
        </w:rPr>
      </w:pPr>
      <w:r w:rsidRPr="00DB641E">
        <w:rPr>
          <w:rFonts w:asciiTheme="minorHAnsi" w:hAnsiTheme="minorHAnsi"/>
          <w:color w:val="7F7F7F" w:themeColor="text1" w:themeTint="80"/>
          <w:sz w:val="26"/>
          <w:szCs w:val="26"/>
        </w:rPr>
        <w:t>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00706056"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w:t>
      </w:r>
      <w:r w:rsidR="00DB641E">
        <w:rPr>
          <w:rFonts w:ascii="Calibri" w:hAnsi="Calibri" w:cs="Calibri"/>
          <w:bCs/>
          <w:iCs/>
          <w:color w:val="7F7F7F" w:themeColor="text1" w:themeTint="80"/>
          <w:sz w:val="26"/>
          <w:szCs w:val="26"/>
        </w:rPr>
        <w:lastRenderedPageBreak/>
        <w:t>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4A1537">
        <w:rPr>
          <w:rFonts w:ascii="Calibri" w:hAnsi="Calibri" w:cs="Calibri"/>
          <w:bCs/>
          <w:iCs/>
          <w:color w:val="7F7F7F" w:themeColor="text1" w:themeTint="80"/>
          <w:sz w:val="26"/>
          <w:szCs w:val="26"/>
        </w:rPr>
        <w:t xml:space="preserve">.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una tienda de abarrotes 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4A1537">
        <w:rPr>
          <w:rFonts w:ascii="Calibri" w:hAnsi="Calibri" w:cs="Calibri"/>
          <w:b w:val="0"/>
          <w:bCs w:val="0"/>
          <w:iCs/>
          <w:color w:val="7F7F7F" w:themeColor="text1" w:themeTint="80"/>
          <w:sz w:val="26"/>
          <w:szCs w:val="26"/>
          <w:lang w:val="es-MX"/>
        </w:rPr>
        <w:t xml:space="preserve">.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w:t>
      </w:r>
      <w:r w:rsidRPr="002912AF">
        <w:rPr>
          <w:rFonts w:asciiTheme="minorHAnsi" w:hAnsiTheme="minorHAnsi" w:cs="Arial"/>
          <w:color w:val="767171" w:themeColor="background2" w:themeShade="80"/>
          <w:sz w:val="26"/>
          <w:szCs w:val="26"/>
          <w:lang w:val="es-MX" w:eastAsia="en-US"/>
        </w:rPr>
        <w:t>, Guanajuato establece que la Dirección General de</w:t>
      </w:r>
      <w:r w:rsidRPr="00AC308A">
        <w:rPr>
          <w:rFonts w:asciiTheme="minorHAnsi" w:hAnsiTheme="minorHAnsi" w:cs="Arial"/>
          <w:color w:val="767171" w:themeColor="background2" w:themeShade="80"/>
          <w:sz w:val="26"/>
          <w:szCs w:val="26"/>
          <w:lang w:val="es-MX" w:eastAsia="en-US"/>
        </w:rPr>
        <w:t xml:space="preserv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7"/>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w:t>
      </w:r>
      <w:r w:rsidR="006E5AA9">
        <w:rPr>
          <w:rFonts w:ascii="Calibri" w:hAnsi="Calibri" w:cs="Calibri"/>
          <w:color w:val="7F7F7F" w:themeColor="text1" w:themeTint="80"/>
          <w:sz w:val="26"/>
          <w:szCs w:val="26"/>
        </w:rPr>
        <w:lastRenderedPageBreak/>
        <w:t>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1A17FE">
        <w:rPr>
          <w:rFonts w:ascii="Calibri" w:hAnsi="Calibri"/>
          <w:b/>
          <w:color w:val="7F7F7F" w:themeColor="text1" w:themeTint="80"/>
          <w:sz w:val="26"/>
          <w:szCs w:val="26"/>
        </w:rPr>
        <w:t xml:space="preserve">11 </w:t>
      </w:r>
      <w:r w:rsidR="001A17FE" w:rsidRPr="008E3698">
        <w:rPr>
          <w:rFonts w:ascii="Calibri" w:hAnsi="Calibri"/>
          <w:color w:val="7F7F7F" w:themeColor="text1" w:themeTint="80"/>
          <w:sz w:val="26"/>
          <w:szCs w:val="26"/>
        </w:rPr>
        <w:t>once de</w:t>
      </w:r>
      <w:r w:rsidR="001A17FE">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1A17FE">
        <w:rPr>
          <w:rFonts w:ascii="Calibri" w:hAnsi="Calibri"/>
          <w:b/>
          <w:color w:val="7F7F7F" w:themeColor="text1" w:themeTint="80"/>
          <w:sz w:val="26"/>
          <w:szCs w:val="26"/>
        </w:rPr>
        <w:t>0600</w:t>
      </w:r>
      <w:r w:rsidR="00530F7A">
        <w:rPr>
          <w:rFonts w:ascii="Calibri" w:hAnsi="Calibri"/>
          <w:b/>
          <w:color w:val="7F7F7F" w:themeColor="text1" w:themeTint="80"/>
          <w:sz w:val="26"/>
          <w:szCs w:val="26"/>
        </w:rPr>
        <w:t>/2015/</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y</w:t>
      </w:r>
      <w:r w:rsidR="00530F7A">
        <w:rPr>
          <w:rFonts w:ascii="Calibri" w:hAnsi="Calibri"/>
          <w:color w:val="7F7F7F" w:themeColor="text1" w:themeTint="80"/>
          <w:sz w:val="26"/>
          <w:szCs w:val="26"/>
        </w:rPr>
        <w:t>,</w:t>
      </w:r>
      <w:r w:rsidR="006E5AA9">
        <w:rPr>
          <w:rFonts w:ascii="Calibri" w:hAnsi="Calibri"/>
          <w:color w:val="7F7F7F" w:themeColor="text1" w:themeTint="80"/>
          <w:sz w:val="26"/>
          <w:szCs w:val="26"/>
        </w:rPr>
        <w:t xml:space="preserve">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BF71C9" w:rsidRPr="00E41CB1">
        <w:rPr>
          <w:rFonts w:ascii="Calibri" w:hAnsi="Calibri"/>
          <w:bCs/>
          <w:color w:val="7F7F7F" w:themeColor="text1" w:themeTint="80"/>
          <w:sz w:val="26"/>
          <w:szCs w:val="26"/>
        </w:rPr>
        <w:t xml:space="preserve">y cualquier otro posterior, como lo sería la </w:t>
      </w:r>
      <w:r w:rsidR="00BF71C9" w:rsidRPr="00BF71C9">
        <w:rPr>
          <w:rFonts w:ascii="Calibri" w:hAnsi="Calibri"/>
          <w:b/>
          <w:bCs/>
          <w:color w:val="7F7F7F" w:themeColor="text1" w:themeTint="80"/>
          <w:sz w:val="26"/>
          <w:szCs w:val="26"/>
        </w:rPr>
        <w:t>resolución</w:t>
      </w:r>
      <w:r w:rsidR="00BF71C9" w:rsidRPr="00E41CB1">
        <w:rPr>
          <w:rFonts w:ascii="Calibri" w:hAnsi="Calibri"/>
          <w:bCs/>
          <w:color w:val="7F7F7F" w:themeColor="text1" w:themeTint="80"/>
          <w:sz w:val="26"/>
          <w:szCs w:val="26"/>
        </w:rPr>
        <w:t xml:space="preserve"> de fecha </w:t>
      </w:r>
      <w:r w:rsidR="00BF71C9" w:rsidRPr="009750F6">
        <w:rPr>
          <w:rFonts w:ascii="Calibri" w:hAnsi="Calibri"/>
          <w:b/>
          <w:bCs/>
          <w:color w:val="7F7F7F" w:themeColor="text1" w:themeTint="80"/>
          <w:sz w:val="26"/>
          <w:szCs w:val="26"/>
        </w:rPr>
        <w:t>1</w:t>
      </w:r>
      <w:r w:rsidR="008E3698">
        <w:rPr>
          <w:rFonts w:ascii="Calibri" w:hAnsi="Calibri"/>
          <w:b/>
          <w:bCs/>
          <w:color w:val="7F7F7F" w:themeColor="text1" w:themeTint="80"/>
          <w:sz w:val="26"/>
          <w:szCs w:val="26"/>
        </w:rPr>
        <w:t>5</w:t>
      </w:r>
      <w:r w:rsidR="00BF71C9">
        <w:rPr>
          <w:rFonts w:ascii="Calibri" w:hAnsi="Calibri"/>
          <w:bCs/>
          <w:color w:val="7F7F7F" w:themeColor="text1" w:themeTint="80"/>
          <w:sz w:val="26"/>
          <w:szCs w:val="26"/>
        </w:rPr>
        <w:t xml:space="preserve"> </w:t>
      </w:r>
      <w:r w:rsidR="008E3698">
        <w:rPr>
          <w:rFonts w:ascii="Calibri" w:hAnsi="Calibri"/>
          <w:bCs/>
          <w:color w:val="7F7F7F" w:themeColor="text1" w:themeTint="80"/>
          <w:sz w:val="26"/>
          <w:szCs w:val="26"/>
        </w:rPr>
        <w:t>quince</w:t>
      </w:r>
      <w:r w:rsidR="00BF71C9">
        <w:rPr>
          <w:rFonts w:ascii="Calibri" w:hAnsi="Calibri"/>
          <w:bCs/>
          <w:color w:val="7F7F7F" w:themeColor="text1" w:themeTint="80"/>
          <w:sz w:val="26"/>
          <w:szCs w:val="26"/>
        </w:rPr>
        <w:t xml:space="preserve"> de </w:t>
      </w:r>
      <w:r w:rsidR="008E3698">
        <w:rPr>
          <w:rFonts w:ascii="Calibri" w:hAnsi="Calibri"/>
          <w:b/>
          <w:bCs/>
          <w:color w:val="7F7F7F" w:themeColor="text1" w:themeTint="80"/>
          <w:sz w:val="26"/>
          <w:szCs w:val="26"/>
        </w:rPr>
        <w:t>septiembre</w:t>
      </w:r>
      <w:r w:rsidR="00BF71C9" w:rsidRPr="00E41CB1">
        <w:rPr>
          <w:rFonts w:ascii="Calibri" w:hAnsi="Calibri"/>
          <w:bCs/>
          <w:color w:val="7F7F7F" w:themeColor="text1" w:themeTint="80"/>
          <w:sz w:val="26"/>
          <w:szCs w:val="26"/>
        </w:rPr>
        <w:t xml:space="preserve"> del mismo año </w:t>
      </w:r>
      <w:r w:rsidR="00BF71C9" w:rsidRPr="009750F6">
        <w:rPr>
          <w:rFonts w:ascii="Calibri" w:hAnsi="Calibri"/>
          <w:b/>
          <w:bCs/>
          <w:color w:val="7F7F7F" w:themeColor="text1" w:themeTint="80"/>
          <w:sz w:val="26"/>
          <w:szCs w:val="26"/>
        </w:rPr>
        <w:t>2015</w:t>
      </w:r>
      <w:r w:rsidR="00BF71C9" w:rsidRPr="00E41CB1">
        <w:rPr>
          <w:rFonts w:ascii="Calibri" w:hAnsi="Calibri"/>
          <w:bCs/>
          <w:color w:val="7F7F7F" w:themeColor="text1" w:themeTint="80"/>
          <w:sz w:val="26"/>
          <w:szCs w:val="26"/>
        </w:rPr>
        <w:t xml:space="preserve"> dos mil quince, al tener, como ya se dijo, su sustento y ser consecuencia de una orden de visita emitida de manera </w:t>
      </w:r>
      <w:r w:rsidR="00BF71C9">
        <w:rPr>
          <w:rFonts w:ascii="Calibri" w:hAnsi="Calibri"/>
          <w:color w:val="7F7F7F" w:themeColor="text1" w:themeTint="80"/>
          <w:sz w:val="26"/>
          <w:szCs w:val="27"/>
        </w:rPr>
        <w:t>ilega</w:t>
      </w:r>
      <w:r w:rsidR="00BF71C9" w:rsidRPr="00F9490B">
        <w:rPr>
          <w:rFonts w:ascii="Calibri" w:hAnsi="Calibri"/>
          <w:color w:val="7F7F7F" w:themeColor="text1" w:themeTint="80"/>
          <w:sz w:val="26"/>
          <w:szCs w:val="27"/>
        </w:rPr>
        <w:t>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5B3A38">
        <w:rPr>
          <w:rFonts w:ascii="Calibri" w:hAnsi="Calibri"/>
          <w:color w:val="7F7F7F" w:themeColor="text1" w:themeTint="80"/>
          <w:sz w:val="26"/>
          <w:szCs w:val="27"/>
        </w:rPr>
        <w:t xml:space="preserve">. . . . . . . . . . . . . . . . . . . . . . . . . . . . . . . . . . . . . . </w:t>
      </w:r>
    </w:p>
    <w:p w:rsidR="005B3A38" w:rsidRDefault="005B3A38"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9E7A07" w:rsidRDefault="004B3DFC" w:rsidP="00FA04C4">
      <w:pPr>
        <w:autoSpaceDE w:val="0"/>
        <w:autoSpaceDN w:val="0"/>
        <w:adjustRightInd w:val="0"/>
        <w:ind w:firstLine="708"/>
        <w:jc w:val="both"/>
        <w:rPr>
          <w:rFonts w:ascii="Calibri" w:hAnsi="Calibri"/>
          <w:i/>
          <w:iCs/>
          <w:color w:val="7F7F7F" w:themeColor="text1" w:themeTint="80"/>
          <w:sz w:val="26"/>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w:t>
      </w:r>
    </w:p>
    <w:p w:rsidR="009E7A07" w:rsidRDefault="009E7A07" w:rsidP="009E7A0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870/2015-JN</w:t>
      </w:r>
    </w:p>
    <w:p w:rsidR="009E7A07" w:rsidRDefault="009E7A07" w:rsidP="00FA04C4">
      <w:pPr>
        <w:autoSpaceDE w:val="0"/>
        <w:autoSpaceDN w:val="0"/>
        <w:adjustRightInd w:val="0"/>
        <w:ind w:firstLine="708"/>
        <w:jc w:val="both"/>
        <w:rPr>
          <w:rFonts w:ascii="Calibri" w:hAnsi="Calibri"/>
          <w:i/>
          <w:iCs/>
          <w:color w:val="7F7F7F" w:themeColor="text1" w:themeTint="80"/>
          <w:sz w:val="26"/>
          <w:szCs w:val="26"/>
          <w:lang w:val="es-MX" w:eastAsia="es-MX"/>
        </w:rPr>
      </w:pPr>
    </w:p>
    <w:p w:rsidR="004B3DFC" w:rsidRDefault="004B3DFC" w:rsidP="009E7A07">
      <w:pPr>
        <w:autoSpaceDE w:val="0"/>
        <w:autoSpaceDN w:val="0"/>
        <w:adjustRightInd w:val="0"/>
        <w:jc w:val="both"/>
        <w:rPr>
          <w:rFonts w:ascii="Calibri" w:hAnsi="Calibri"/>
          <w:color w:val="7F7F7F" w:themeColor="text1" w:themeTint="80"/>
          <w:sz w:val="22"/>
          <w:szCs w:val="26"/>
          <w:lang w:val="es-MX" w:eastAsia="es-MX"/>
        </w:rPr>
      </w:pPr>
      <w:proofErr w:type="gramStart"/>
      <w:r w:rsidRPr="00BF5CA7">
        <w:rPr>
          <w:rFonts w:ascii="Calibri" w:hAnsi="Calibri"/>
          <w:i/>
          <w:iCs/>
          <w:color w:val="7F7F7F" w:themeColor="text1" w:themeTint="80"/>
          <w:sz w:val="26"/>
          <w:szCs w:val="26"/>
          <w:lang w:val="es-MX" w:eastAsia="es-MX"/>
        </w:rPr>
        <w:t>inexistencia</w:t>
      </w:r>
      <w:proofErr w:type="gramEnd"/>
      <w:r w:rsidRPr="00BF5CA7">
        <w:rPr>
          <w:rFonts w:ascii="Calibri" w:hAnsi="Calibri"/>
          <w:i/>
          <w:iCs/>
          <w:color w:val="7F7F7F" w:themeColor="text1" w:themeTint="80"/>
          <w:sz w:val="26"/>
          <w:szCs w:val="26"/>
          <w:lang w:val="es-MX" w:eastAsia="es-MX"/>
        </w:rPr>
        <w:t xml:space="preserve">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A32EE2" w:rsidRDefault="00F54858" w:rsidP="009E7A07">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y la tienda de abarrotes</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w:t>
      </w:r>
      <w:r w:rsidR="00A32EE2" w:rsidRPr="00A32EE2">
        <w:rPr>
          <w:rFonts w:ascii="Calibri" w:hAnsi="Calibri" w:cs="Arial"/>
          <w:color w:val="7F7F7F" w:themeColor="text1" w:themeTint="80"/>
          <w:sz w:val="26"/>
          <w:szCs w:val="26"/>
        </w:rPr>
        <w:lastRenderedPageBreak/>
        <w:t xml:space="preserve">de Procedimiento y Justicia Administrativa, ya que al emitirse sin el domicilio del establecimiento a clausurar, el nombre del inspector y la fecha de emisión, hacen que la orden de </w:t>
      </w:r>
      <w:r w:rsidR="007A1DFC">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D4BE0" w:rsidRDefault="002D4BE0" w:rsidP="009A23DB">
      <w:pPr>
        <w:pStyle w:val="Textoindependiente"/>
        <w:rPr>
          <w:rFonts w:ascii="Calibri" w:hAnsi="Calibri" w:cs="Arial"/>
          <w:color w:val="7F7F7F" w:themeColor="text1" w:themeTint="80"/>
          <w:sz w:val="26"/>
          <w:szCs w:val="26"/>
        </w:rPr>
      </w:pPr>
    </w:p>
    <w:p w:rsidR="002D4BE0" w:rsidRPr="007D6748" w:rsidRDefault="002D4BE0" w:rsidP="002D4BE0">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el inspector demandados, se  expresa lo siguiente: . . . . . . . . . . . . . . . . . . . </w:t>
      </w:r>
      <w:r w:rsidR="009E7A07">
        <w:rPr>
          <w:rFonts w:ascii="Calibri" w:hAnsi="Calibri" w:cs="Arial"/>
          <w:color w:val="7F7F7F" w:themeColor="text1" w:themeTint="80"/>
          <w:sz w:val="26"/>
          <w:szCs w:val="26"/>
        </w:rPr>
        <w:t xml:space="preserve">. . . . . . . . . . . . . . . . . . . . . . . . . . . . . . . . . . . . . . . . . </w:t>
      </w:r>
    </w:p>
    <w:p w:rsidR="002D4BE0" w:rsidRPr="00207C8E" w:rsidRDefault="002D4BE0" w:rsidP="002D4BE0">
      <w:pPr>
        <w:pStyle w:val="Textoindependiente"/>
        <w:rPr>
          <w:rFonts w:ascii="Calibri" w:hAnsi="Calibri"/>
          <w:color w:val="000000" w:themeColor="text1"/>
          <w:sz w:val="26"/>
          <w:szCs w:val="26"/>
          <w:lang w:eastAsia="es-MX"/>
        </w:rPr>
      </w:pPr>
    </w:p>
    <w:p w:rsidR="002D4BE0" w:rsidRPr="002D4BE0" w:rsidRDefault="002D4BE0" w:rsidP="002D4BE0">
      <w:pPr>
        <w:pStyle w:val="Textoindependiente"/>
        <w:ind w:firstLine="708"/>
        <w:rPr>
          <w:rFonts w:ascii="Calibri" w:hAnsi="Calibri" w:cs="Arial"/>
          <w:color w:val="7F7F7F" w:themeColor="text1" w:themeTint="80"/>
          <w:sz w:val="26"/>
          <w:szCs w:val="26"/>
        </w:rPr>
      </w:pPr>
      <w:r w:rsidRPr="002D4BE0">
        <w:rPr>
          <w:rFonts w:ascii="Calibri" w:hAnsi="Calibri" w:cs="Arial"/>
          <w:color w:val="7F7F7F" w:themeColor="text1" w:themeTint="80"/>
          <w:sz w:val="26"/>
          <w:szCs w:val="26"/>
        </w:rPr>
        <w:t xml:space="preserve">a).- Tocante a la excepción de </w:t>
      </w:r>
      <w:r w:rsidRPr="009E7A07">
        <w:rPr>
          <w:rFonts w:ascii="Calibri" w:hAnsi="Calibri" w:cs="Arial"/>
          <w:i/>
          <w:color w:val="7F7F7F" w:themeColor="text1" w:themeTint="80"/>
          <w:sz w:val="26"/>
          <w:szCs w:val="26"/>
        </w:rPr>
        <w:t>“Improcedencia”</w:t>
      </w:r>
      <w:r w:rsidRPr="002D4BE0">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p>
    <w:p w:rsidR="002D4BE0" w:rsidRPr="00207C8E" w:rsidRDefault="002D4BE0" w:rsidP="002D4BE0">
      <w:pPr>
        <w:pStyle w:val="Textoindependiente"/>
        <w:rPr>
          <w:rFonts w:ascii="Calibri" w:hAnsi="Calibri"/>
          <w:color w:val="000000" w:themeColor="text1"/>
          <w:sz w:val="26"/>
          <w:szCs w:val="26"/>
          <w:lang w:eastAsia="es-MX"/>
        </w:rPr>
      </w:pPr>
    </w:p>
    <w:p w:rsidR="002D4BE0" w:rsidRPr="00207C8E" w:rsidRDefault="002D4BE0" w:rsidP="002D4BE0">
      <w:pPr>
        <w:pStyle w:val="Textoindependiente"/>
        <w:ind w:firstLine="708"/>
        <w:rPr>
          <w:rFonts w:ascii="Calibri" w:hAnsi="Calibri"/>
          <w:color w:val="000000" w:themeColor="text1"/>
          <w:sz w:val="26"/>
          <w:szCs w:val="26"/>
          <w:lang w:eastAsia="es-MX"/>
        </w:rPr>
      </w:pPr>
      <w:r>
        <w:rPr>
          <w:rFonts w:ascii="Calibri" w:hAnsi="Calibri"/>
          <w:color w:val="000000" w:themeColor="text1"/>
          <w:sz w:val="26"/>
          <w:szCs w:val="26"/>
          <w:lang w:eastAsia="es-MX"/>
        </w:rPr>
        <w:tab/>
      </w:r>
      <w:r w:rsidRPr="002D4BE0">
        <w:rPr>
          <w:rFonts w:ascii="Calibri" w:hAnsi="Calibri" w:cs="Arial"/>
          <w:color w:val="7F7F7F" w:themeColor="text1" w:themeTint="80"/>
          <w:sz w:val="26"/>
          <w:szCs w:val="26"/>
        </w:rPr>
        <w:t>b).- En cuanto a la excepción de “</w:t>
      </w:r>
      <w:r w:rsidRPr="009E7A07">
        <w:rPr>
          <w:rFonts w:ascii="Calibri" w:hAnsi="Calibri" w:cs="Arial"/>
          <w:i/>
          <w:color w:val="7F7F7F" w:themeColor="text1" w:themeTint="80"/>
          <w:sz w:val="26"/>
          <w:szCs w:val="26"/>
        </w:rPr>
        <w:t>Falta de Acción y Carencia de Derecho”,</w:t>
      </w:r>
      <w:r w:rsidRPr="002D4BE0">
        <w:rPr>
          <w:rFonts w:ascii="Calibri" w:hAnsi="Calibri" w:cs="Arial"/>
          <w:color w:val="7F7F7F" w:themeColor="text1" w:themeTint="80"/>
          <w:sz w:val="26"/>
          <w:szCs w:val="26"/>
        </w:rPr>
        <w:t xml:space="preserve"> tampoco opera como excepción, pues está claro que la ciudadana </w:t>
      </w:r>
      <w:r w:rsidR="00E016A9">
        <w:rPr>
          <w:rFonts w:ascii="Calibri" w:hAnsi="Calibri" w:cs="Arial"/>
          <w:color w:val="7F7F7F" w:themeColor="text1" w:themeTint="80"/>
          <w:sz w:val="26"/>
          <w:szCs w:val="26"/>
        </w:rPr>
        <w:t>*****</w:t>
      </w:r>
      <w:r w:rsidRPr="002D4BE0">
        <w:rPr>
          <w:rFonts w:ascii="Calibri" w:hAnsi="Calibri" w:cs="Arial"/>
          <w:color w:val="7F7F7F" w:themeColor="text1" w:themeTint="80"/>
          <w:sz w:val="26"/>
          <w:szCs w:val="26"/>
        </w:rPr>
        <w:t xml:space="preserve"> 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la actora pretende la nulidad de los actos impugnados, lo que en la especie ya se dio. . . . .</w:t>
      </w:r>
      <w:r w:rsidRPr="00207C8E">
        <w:rPr>
          <w:rFonts w:ascii="Calibri" w:hAnsi="Calibri"/>
          <w:color w:val="000000" w:themeColor="text1"/>
          <w:sz w:val="26"/>
          <w:szCs w:val="26"/>
          <w:lang w:eastAsia="es-MX"/>
        </w:rPr>
        <w:t xml:space="preserve"> </w:t>
      </w:r>
      <w:r w:rsidR="009E7A07">
        <w:rPr>
          <w:rFonts w:ascii="Calibri" w:hAnsi="Calibri"/>
          <w:color w:val="000000" w:themeColor="text1"/>
          <w:sz w:val="26"/>
          <w:szCs w:val="26"/>
          <w:lang w:eastAsia="es-MX"/>
        </w:rPr>
        <w:t xml:space="preserve">. </w:t>
      </w:r>
      <w:r w:rsidRPr="00207C8E">
        <w:rPr>
          <w:rFonts w:ascii="Calibri" w:hAnsi="Calibri"/>
          <w:color w:val="000000" w:themeColor="text1"/>
          <w:sz w:val="26"/>
          <w:szCs w:val="26"/>
          <w:lang w:eastAsia="es-MX"/>
        </w:rPr>
        <w:t xml:space="preserve">      </w:t>
      </w:r>
    </w:p>
    <w:p w:rsidR="002D4BE0" w:rsidRPr="00207C8E" w:rsidRDefault="002D4BE0" w:rsidP="002D4BE0">
      <w:pPr>
        <w:pStyle w:val="Textoindependiente"/>
        <w:rPr>
          <w:rFonts w:ascii="Calibri" w:hAnsi="Calibri"/>
          <w:color w:val="000000" w:themeColor="text1"/>
          <w:sz w:val="26"/>
          <w:szCs w:val="26"/>
          <w:lang w:eastAsia="es-MX"/>
        </w:rPr>
      </w:pPr>
    </w:p>
    <w:p w:rsidR="002D4BE0" w:rsidRPr="002D4BE0" w:rsidRDefault="002D4BE0" w:rsidP="002D4BE0">
      <w:pPr>
        <w:pStyle w:val="Textoindependiente"/>
        <w:ind w:firstLine="708"/>
        <w:rPr>
          <w:rFonts w:ascii="Calibri" w:hAnsi="Calibri" w:cs="Arial"/>
          <w:color w:val="7F7F7F" w:themeColor="text1" w:themeTint="80"/>
          <w:sz w:val="26"/>
          <w:szCs w:val="26"/>
        </w:rPr>
      </w:pPr>
      <w:r w:rsidRPr="002D4BE0">
        <w:rPr>
          <w:rFonts w:ascii="Calibri" w:hAnsi="Calibri" w:cs="Arial"/>
          <w:color w:val="7F7F7F" w:themeColor="text1" w:themeTint="80"/>
          <w:sz w:val="26"/>
          <w:szCs w:val="26"/>
        </w:rPr>
        <w:t xml:space="preserve">c).- De igual manera tampoco opera la defensa de la </w:t>
      </w:r>
      <w:r w:rsidRPr="009E7A07">
        <w:rPr>
          <w:rFonts w:ascii="Calibri" w:hAnsi="Calibri" w:cs="Arial"/>
          <w:i/>
          <w:color w:val="7F7F7F" w:themeColor="text1" w:themeTint="80"/>
          <w:sz w:val="26"/>
          <w:szCs w:val="26"/>
        </w:rPr>
        <w:t xml:space="preserve">“Non Mutatis </w:t>
      </w:r>
      <w:proofErr w:type="spellStart"/>
      <w:r w:rsidRPr="009E7A07">
        <w:rPr>
          <w:rFonts w:ascii="Calibri" w:hAnsi="Calibri" w:cs="Arial"/>
          <w:i/>
          <w:color w:val="7F7F7F" w:themeColor="text1" w:themeTint="80"/>
          <w:sz w:val="26"/>
          <w:szCs w:val="26"/>
        </w:rPr>
        <w:t>Libeli</w:t>
      </w:r>
      <w:proofErr w:type="spellEnd"/>
      <w:r w:rsidRPr="009E7A07">
        <w:rPr>
          <w:rFonts w:ascii="Calibri" w:hAnsi="Calibri" w:cs="Arial"/>
          <w:i/>
          <w:color w:val="7F7F7F" w:themeColor="text1" w:themeTint="80"/>
          <w:sz w:val="26"/>
          <w:szCs w:val="26"/>
        </w:rPr>
        <w:t>”</w:t>
      </w:r>
      <w:r w:rsidRPr="002D4BE0">
        <w:rPr>
          <w:rFonts w:ascii="Calibri" w:hAnsi="Calibri" w:cs="Arial"/>
          <w:color w:val="7F7F7F" w:themeColor="text1" w:themeTint="80"/>
          <w:sz w:val="26"/>
          <w:szCs w:val="26"/>
        </w:rPr>
        <w:t>,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9E7A07">
        <w:rPr>
          <w:rFonts w:ascii="Calibri" w:hAnsi="Calibri" w:cs="Arial"/>
          <w:color w:val="7F7F7F" w:themeColor="text1" w:themeTint="80"/>
          <w:sz w:val="26"/>
          <w:szCs w:val="26"/>
        </w:rPr>
        <w:t xml:space="preserve"> . . . . . . . . . . . . . . . . . . . . . . . . . . . . . . . . . </w:t>
      </w:r>
    </w:p>
    <w:p w:rsidR="002974BB" w:rsidRPr="009A23DB" w:rsidRDefault="002974BB" w:rsidP="009E7A07">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1A17FE">
        <w:rPr>
          <w:rFonts w:ascii="Calibri" w:hAnsi="Calibri"/>
          <w:color w:val="7F7F7F" w:themeColor="text1" w:themeTint="80"/>
          <w:sz w:val="26"/>
          <w:szCs w:val="26"/>
        </w:rPr>
        <w:t>11 once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9E7A07">
        <w:rPr>
          <w:rFonts w:ascii="Calibri" w:hAnsi="Calibri"/>
          <w:color w:val="7F7F7F" w:themeColor="text1" w:themeTint="80"/>
          <w:sz w:val="26"/>
          <w:szCs w:val="26"/>
        </w:rPr>
        <w:t xml:space="preserve">. .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BF71C9">
        <w:rPr>
          <w:rFonts w:ascii="Calibri" w:hAnsi="Calibri"/>
          <w:color w:val="7F7F7F" w:themeColor="text1" w:themeTint="80"/>
          <w:sz w:val="26"/>
          <w:szCs w:val="26"/>
        </w:rPr>
        <w:t>qu</w:t>
      </w:r>
      <w:r w:rsidR="004A41DC" w:rsidRPr="00BF71C9">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8E3698" w:rsidRDefault="008E3698" w:rsidP="004328C1">
      <w:pPr>
        <w:pStyle w:val="Textoindependiente"/>
        <w:ind w:firstLine="708"/>
        <w:rPr>
          <w:rFonts w:ascii="Calibri" w:hAnsi="Calibri"/>
          <w:color w:val="7F7F7F" w:themeColor="text1" w:themeTint="80"/>
          <w:sz w:val="26"/>
          <w:szCs w:val="26"/>
        </w:rPr>
      </w:pPr>
    </w:p>
    <w:p w:rsidR="00C873F9" w:rsidRDefault="008E3698" w:rsidP="004328C1">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t xml:space="preserve">Así mismo este Juzgador advierte que al ya haberse iniciado un Procedimiento Administrativo de Ejecución, en donde se emitió el requerimiento </w:t>
      </w:r>
    </w:p>
    <w:p w:rsidR="00C873F9" w:rsidRDefault="00C873F9" w:rsidP="00C873F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870/2015-JN</w:t>
      </w:r>
    </w:p>
    <w:p w:rsidR="00C873F9" w:rsidRDefault="00C873F9" w:rsidP="004328C1">
      <w:pPr>
        <w:pStyle w:val="Textoindependiente"/>
        <w:ind w:firstLine="708"/>
        <w:rPr>
          <w:rFonts w:ascii="Calibri" w:hAnsi="Calibri"/>
          <w:color w:val="7F7F7F" w:themeColor="text1" w:themeTint="80"/>
          <w:sz w:val="26"/>
          <w:szCs w:val="26"/>
        </w:rPr>
      </w:pPr>
    </w:p>
    <w:p w:rsidR="008E3698" w:rsidRPr="00BF5CA7" w:rsidRDefault="008E3698" w:rsidP="00C873F9">
      <w:pPr>
        <w:pStyle w:val="Textoindependiente"/>
        <w:rPr>
          <w:rFonts w:ascii="Calibri" w:hAnsi="Calibri"/>
          <w:color w:val="7F7F7F" w:themeColor="text1" w:themeTint="80"/>
          <w:sz w:val="26"/>
          <w:szCs w:val="26"/>
        </w:rPr>
      </w:pPr>
      <w:proofErr w:type="gramStart"/>
      <w:r>
        <w:rPr>
          <w:rFonts w:ascii="Calibri" w:hAnsi="Calibri"/>
          <w:color w:val="7F7F7F" w:themeColor="text1" w:themeTint="80"/>
          <w:sz w:val="26"/>
          <w:szCs w:val="26"/>
        </w:rPr>
        <w:t>de</w:t>
      </w:r>
      <w:proofErr w:type="gramEnd"/>
      <w:r>
        <w:rPr>
          <w:rFonts w:ascii="Calibri" w:hAnsi="Calibri"/>
          <w:color w:val="7F7F7F" w:themeColor="text1" w:themeTint="80"/>
          <w:sz w:val="26"/>
          <w:szCs w:val="26"/>
        </w:rPr>
        <w:t xml:space="preserve"> pago del crédito número 1148832, respe</w:t>
      </w:r>
      <w:r w:rsidR="00C873F9">
        <w:rPr>
          <w:rFonts w:ascii="Calibri" w:hAnsi="Calibri"/>
          <w:color w:val="7F7F7F" w:themeColor="text1" w:themeTint="80"/>
          <w:sz w:val="26"/>
          <w:szCs w:val="26"/>
        </w:rPr>
        <w:t>c</w:t>
      </w:r>
      <w:r>
        <w:rPr>
          <w:rFonts w:ascii="Calibri" w:hAnsi="Calibri"/>
          <w:color w:val="7F7F7F" w:themeColor="text1" w:themeTint="80"/>
          <w:sz w:val="26"/>
          <w:szCs w:val="26"/>
        </w:rPr>
        <w:t xml:space="preserve">to de una multa derivada del expediente </w:t>
      </w:r>
      <w:r w:rsidRPr="001B55E7">
        <w:rPr>
          <w:rFonts w:ascii="Calibri" w:hAnsi="Calibri"/>
          <w:color w:val="7F7F7F" w:themeColor="text1" w:themeTint="80"/>
          <w:sz w:val="26"/>
          <w:szCs w:val="26"/>
        </w:rPr>
        <w:t>DGFC/DT/0</w:t>
      </w:r>
      <w:r>
        <w:rPr>
          <w:rFonts w:ascii="Calibri" w:hAnsi="Calibri"/>
          <w:color w:val="7F7F7F" w:themeColor="text1" w:themeTint="80"/>
          <w:sz w:val="26"/>
          <w:szCs w:val="26"/>
        </w:rPr>
        <w:t>600</w:t>
      </w:r>
      <w:r w:rsidRPr="001B55E7">
        <w:rPr>
          <w:rFonts w:ascii="Calibri" w:hAnsi="Calibri"/>
          <w:color w:val="7F7F7F" w:themeColor="text1" w:themeTint="80"/>
          <w:sz w:val="26"/>
          <w:szCs w:val="26"/>
        </w:rPr>
        <w:t>/2015</w:t>
      </w:r>
      <w:r>
        <w:rPr>
          <w:rFonts w:ascii="Calibri" w:hAnsi="Calibri"/>
          <w:color w:val="7F7F7F" w:themeColor="text1" w:themeTint="80"/>
          <w:sz w:val="26"/>
          <w:szCs w:val="26"/>
        </w:rPr>
        <w:t>/</w:t>
      </w:r>
      <w:r w:rsidRPr="001B55E7">
        <w:rPr>
          <w:rFonts w:ascii="Calibri" w:hAnsi="Calibri"/>
          <w:color w:val="7F7F7F" w:themeColor="text1" w:themeTint="80"/>
          <w:sz w:val="26"/>
          <w:szCs w:val="26"/>
        </w:rPr>
        <w:t>JA</w:t>
      </w:r>
      <w:r>
        <w:rPr>
          <w:rFonts w:ascii="Calibri" w:hAnsi="Calibri"/>
          <w:color w:val="7F7F7F" w:themeColor="text1" w:themeTint="80"/>
          <w:sz w:val="26"/>
          <w:szCs w:val="26"/>
        </w:rPr>
        <w:t xml:space="preserve">, se </w:t>
      </w:r>
      <w:r w:rsidRPr="001B55E7">
        <w:rPr>
          <w:rFonts w:ascii="Calibri" w:hAnsi="Calibri"/>
          <w:b/>
          <w:color w:val="7F7F7F" w:themeColor="text1" w:themeTint="80"/>
          <w:sz w:val="26"/>
          <w:szCs w:val="26"/>
        </w:rPr>
        <w:t>ordena</w:t>
      </w:r>
      <w:r>
        <w:rPr>
          <w:rFonts w:ascii="Calibri" w:hAnsi="Calibri"/>
          <w:color w:val="7F7F7F" w:themeColor="text1" w:themeTint="80"/>
          <w:sz w:val="26"/>
          <w:szCs w:val="26"/>
        </w:rPr>
        <w:t xml:space="preserve"> al Director General de Fiscalización y Control </w:t>
      </w:r>
      <w:r w:rsidRPr="001B55E7">
        <w:rPr>
          <w:rFonts w:ascii="Calibri" w:hAnsi="Calibri"/>
          <w:b/>
          <w:color w:val="7F7F7F" w:themeColor="text1" w:themeTint="80"/>
          <w:sz w:val="26"/>
          <w:szCs w:val="26"/>
        </w:rPr>
        <w:t>solicite</w:t>
      </w:r>
      <w:r>
        <w:rPr>
          <w:rFonts w:ascii="Calibri" w:hAnsi="Calibri"/>
          <w:color w:val="7F7F7F" w:themeColor="text1" w:themeTint="80"/>
          <w:sz w:val="26"/>
          <w:szCs w:val="26"/>
        </w:rPr>
        <w:t xml:space="preserve"> a la Tesorería Municipal </w:t>
      </w:r>
      <w:r w:rsidRPr="001B55E7">
        <w:rPr>
          <w:rFonts w:ascii="Calibri" w:hAnsi="Calibri"/>
          <w:b/>
          <w:color w:val="7F7F7F" w:themeColor="text1" w:themeTint="80"/>
          <w:sz w:val="26"/>
          <w:szCs w:val="26"/>
        </w:rPr>
        <w:t>deje sin efecto</w:t>
      </w:r>
      <w:r>
        <w:rPr>
          <w:rFonts w:ascii="Calibri" w:hAnsi="Calibri"/>
          <w:color w:val="7F7F7F" w:themeColor="text1" w:themeTint="80"/>
          <w:sz w:val="26"/>
          <w:szCs w:val="26"/>
        </w:rPr>
        <w:t xml:space="preserve"> el mismo, toda vez que al decretarse la nulidad total de los actos controvertidos en esta causa administrativa, ya no hay sustento legal para dicho procedimiento. . . . . . . .</w:t>
      </w:r>
    </w:p>
    <w:p w:rsidR="004B3DFC" w:rsidRDefault="004B3DFC" w:rsidP="00C873F9">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7A1DFC">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E016A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1A17FE">
        <w:rPr>
          <w:rFonts w:ascii="Calibri" w:hAnsi="Calibri"/>
          <w:b/>
          <w:color w:val="7F7F7F" w:themeColor="text1" w:themeTint="80"/>
          <w:sz w:val="26"/>
          <w:szCs w:val="26"/>
        </w:rPr>
        <w:t xml:space="preserve">11 </w:t>
      </w:r>
      <w:r w:rsidR="001A17FE" w:rsidRPr="00DA402B">
        <w:rPr>
          <w:rFonts w:ascii="Calibri" w:hAnsi="Calibri"/>
          <w:color w:val="7F7F7F" w:themeColor="text1" w:themeTint="80"/>
          <w:sz w:val="26"/>
          <w:szCs w:val="26"/>
        </w:rPr>
        <w:t>once de</w:t>
      </w:r>
      <w:r w:rsidR="001A17FE">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1A17FE">
        <w:rPr>
          <w:rFonts w:ascii="Calibri" w:hAnsi="Calibri"/>
          <w:b/>
          <w:color w:val="7F7F7F" w:themeColor="text1" w:themeTint="80"/>
          <w:sz w:val="26"/>
          <w:szCs w:val="26"/>
        </w:rPr>
        <w:t>0600</w:t>
      </w:r>
      <w:r w:rsidR="00A57007">
        <w:rPr>
          <w:rFonts w:ascii="Calibri" w:hAnsi="Calibri"/>
          <w:b/>
          <w:color w:val="7F7F7F" w:themeColor="text1" w:themeTint="80"/>
          <w:sz w:val="26"/>
          <w:szCs w:val="26"/>
        </w:rPr>
        <w:t>/2015</w:t>
      </w:r>
      <w:r w:rsidR="00530F7A">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y</w:t>
      </w:r>
      <w:r w:rsidR="00530F7A">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Pr>
          <w:rFonts w:ascii="Calibri" w:hAnsi="Calibri"/>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 xml:space="preserve">acta </w:t>
      </w:r>
      <w:r w:rsidR="00656D08" w:rsidRPr="00656D08">
        <w:rPr>
          <w:rFonts w:ascii="Calibri" w:hAnsi="Calibri"/>
          <w:b/>
          <w:bCs/>
          <w:color w:val="7F7F7F" w:themeColor="text1" w:themeTint="80"/>
          <w:sz w:val="26"/>
          <w:szCs w:val="26"/>
        </w:rPr>
        <w:lastRenderedPageBreak/>
        <w:t>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w:t>
      </w:r>
      <w:r w:rsidR="00BF71C9" w:rsidRPr="00BF71C9">
        <w:rPr>
          <w:rFonts w:ascii="Calibri" w:hAnsi="Calibri"/>
          <w:bCs/>
          <w:color w:val="7F7F7F" w:themeColor="text1" w:themeTint="80"/>
          <w:sz w:val="26"/>
          <w:szCs w:val="26"/>
        </w:rPr>
        <w:t xml:space="preserve"> </w:t>
      </w:r>
      <w:r w:rsidR="003B1B7D">
        <w:rPr>
          <w:rFonts w:ascii="Calibri" w:hAnsi="Calibri"/>
          <w:bCs/>
          <w:color w:val="7F7F7F" w:themeColor="text1" w:themeTint="80"/>
          <w:sz w:val="26"/>
          <w:szCs w:val="26"/>
        </w:rPr>
        <w:t xml:space="preserve">así como de </w:t>
      </w:r>
      <w:r w:rsidR="00BF71C9" w:rsidRPr="00E41CB1">
        <w:rPr>
          <w:rFonts w:ascii="Calibri" w:hAnsi="Calibri"/>
          <w:bCs/>
          <w:color w:val="7F7F7F" w:themeColor="text1" w:themeTint="80"/>
          <w:sz w:val="26"/>
          <w:szCs w:val="26"/>
        </w:rPr>
        <w:t xml:space="preserve">la </w:t>
      </w:r>
      <w:r w:rsidR="00BF71C9" w:rsidRPr="00BF71C9">
        <w:rPr>
          <w:rFonts w:ascii="Calibri" w:hAnsi="Calibri"/>
          <w:b/>
          <w:bCs/>
          <w:color w:val="7F7F7F" w:themeColor="text1" w:themeTint="80"/>
          <w:sz w:val="26"/>
          <w:szCs w:val="26"/>
        </w:rPr>
        <w:t>resolución</w:t>
      </w:r>
      <w:r w:rsidR="00BF71C9" w:rsidRPr="00E41CB1">
        <w:rPr>
          <w:rFonts w:ascii="Calibri" w:hAnsi="Calibri"/>
          <w:bCs/>
          <w:color w:val="7F7F7F" w:themeColor="text1" w:themeTint="80"/>
          <w:sz w:val="26"/>
          <w:szCs w:val="26"/>
        </w:rPr>
        <w:t xml:space="preserve"> de fecha </w:t>
      </w:r>
      <w:r w:rsidR="00BF71C9" w:rsidRPr="009750F6">
        <w:rPr>
          <w:rFonts w:ascii="Calibri" w:hAnsi="Calibri"/>
          <w:b/>
          <w:bCs/>
          <w:color w:val="7F7F7F" w:themeColor="text1" w:themeTint="80"/>
          <w:sz w:val="26"/>
          <w:szCs w:val="26"/>
        </w:rPr>
        <w:t>1</w:t>
      </w:r>
      <w:r w:rsidR="00DA402B">
        <w:rPr>
          <w:rFonts w:ascii="Calibri" w:hAnsi="Calibri"/>
          <w:b/>
          <w:bCs/>
          <w:color w:val="7F7F7F" w:themeColor="text1" w:themeTint="80"/>
          <w:sz w:val="26"/>
          <w:szCs w:val="26"/>
        </w:rPr>
        <w:t>5</w:t>
      </w:r>
      <w:r w:rsidR="00BF71C9">
        <w:rPr>
          <w:rFonts w:ascii="Calibri" w:hAnsi="Calibri"/>
          <w:bCs/>
          <w:color w:val="7F7F7F" w:themeColor="text1" w:themeTint="80"/>
          <w:sz w:val="26"/>
          <w:szCs w:val="26"/>
        </w:rPr>
        <w:t xml:space="preserve"> </w:t>
      </w:r>
      <w:r w:rsidR="00DA402B">
        <w:rPr>
          <w:rFonts w:ascii="Calibri" w:hAnsi="Calibri"/>
          <w:bCs/>
          <w:color w:val="7F7F7F" w:themeColor="text1" w:themeTint="80"/>
          <w:sz w:val="26"/>
          <w:szCs w:val="26"/>
        </w:rPr>
        <w:t>quince</w:t>
      </w:r>
      <w:r w:rsidR="00BF71C9">
        <w:rPr>
          <w:rFonts w:ascii="Calibri" w:hAnsi="Calibri"/>
          <w:bCs/>
          <w:color w:val="7F7F7F" w:themeColor="text1" w:themeTint="80"/>
          <w:sz w:val="26"/>
          <w:szCs w:val="26"/>
        </w:rPr>
        <w:t xml:space="preserve"> de </w:t>
      </w:r>
      <w:r w:rsidR="00DA402B">
        <w:rPr>
          <w:rFonts w:ascii="Calibri" w:hAnsi="Calibri"/>
          <w:b/>
          <w:bCs/>
          <w:color w:val="7F7F7F" w:themeColor="text1" w:themeTint="80"/>
          <w:sz w:val="26"/>
          <w:szCs w:val="26"/>
        </w:rPr>
        <w:t xml:space="preserve">septiembre </w:t>
      </w:r>
      <w:r w:rsidR="00BF71C9" w:rsidRPr="00E41CB1">
        <w:rPr>
          <w:rFonts w:ascii="Calibri" w:hAnsi="Calibri"/>
          <w:bCs/>
          <w:color w:val="7F7F7F" w:themeColor="text1" w:themeTint="80"/>
          <w:sz w:val="26"/>
          <w:szCs w:val="26"/>
        </w:rPr>
        <w:t xml:space="preserve">del mismo año </w:t>
      </w:r>
      <w:r w:rsidR="00BF71C9" w:rsidRPr="009750F6">
        <w:rPr>
          <w:rFonts w:ascii="Calibri" w:hAnsi="Calibri"/>
          <w:b/>
          <w:bCs/>
          <w:color w:val="7F7F7F" w:themeColor="text1" w:themeTint="80"/>
          <w:sz w:val="26"/>
          <w:szCs w:val="26"/>
        </w:rPr>
        <w:t>2015</w:t>
      </w:r>
      <w:r w:rsidR="00BF71C9" w:rsidRPr="00E41CB1">
        <w:rPr>
          <w:rFonts w:ascii="Calibri" w:hAnsi="Calibri"/>
          <w:bCs/>
          <w:color w:val="7F7F7F" w:themeColor="text1" w:themeTint="80"/>
          <w:sz w:val="26"/>
          <w:szCs w:val="26"/>
        </w:rPr>
        <w:t xml:space="preserve"> dos mil quince,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3B1B7D">
        <w:rPr>
          <w:rFonts w:ascii="Calibri" w:hAnsi="Calibri" w:cs="Arial"/>
          <w:color w:val="7F7F7F" w:themeColor="text1" w:themeTint="80"/>
          <w:sz w:val="26"/>
          <w:szCs w:val="26"/>
        </w:rPr>
        <w:t xml:space="preserve">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DA402B" w:rsidRDefault="004B3DFC" w:rsidP="008E0AB6">
      <w:pPr>
        <w:ind w:firstLine="708"/>
        <w:jc w:val="both"/>
        <w:rPr>
          <w:rFonts w:ascii="Calibri" w:hAnsi="Calibri" w:cs="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1A17FE">
        <w:rPr>
          <w:rFonts w:ascii="Calibri" w:hAnsi="Calibri"/>
          <w:color w:val="7F7F7F" w:themeColor="text1" w:themeTint="80"/>
          <w:sz w:val="26"/>
          <w:szCs w:val="26"/>
        </w:rPr>
        <w:t>11 once de septiembre</w:t>
      </w:r>
      <w:r w:rsidR="008E0AB6" w:rsidRPr="00BF5CA7">
        <w:rPr>
          <w:rFonts w:ascii="Calibri" w:hAnsi="Calibri"/>
          <w:color w:val="7F7F7F" w:themeColor="text1" w:themeTint="80"/>
          <w:sz w:val="26"/>
          <w:szCs w:val="26"/>
        </w:rPr>
        <w:t xml:space="preserve"> del año 2015 dos mil quince, sobre </w:t>
      </w:r>
      <w:r w:rsidR="008E0AB6" w:rsidRPr="00BF71C9">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BF71C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bookmarkStart w:id="0" w:name="_GoBack"/>
      <w:r w:rsidR="00E016A9">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C873F9">
        <w:rPr>
          <w:rFonts w:ascii="Calibri" w:hAnsi="Calibri" w:cs="Calibri"/>
          <w:color w:val="7F7F7F" w:themeColor="text1" w:themeTint="80"/>
          <w:sz w:val="26"/>
          <w:szCs w:val="26"/>
        </w:rPr>
        <w:t xml:space="preserve">. . . . . . . . </w:t>
      </w:r>
    </w:p>
    <w:p w:rsidR="00DA402B" w:rsidRDefault="00DA402B" w:rsidP="008E0AB6">
      <w:pPr>
        <w:ind w:firstLine="708"/>
        <w:jc w:val="both"/>
        <w:rPr>
          <w:rFonts w:ascii="Calibri" w:hAnsi="Calibri" w:cs="Calibri"/>
          <w:color w:val="7F7F7F" w:themeColor="text1" w:themeTint="80"/>
          <w:sz w:val="26"/>
          <w:szCs w:val="26"/>
        </w:rPr>
      </w:pPr>
    </w:p>
    <w:p w:rsidR="00DA402B" w:rsidRPr="00BF5CA7" w:rsidRDefault="00DA402B" w:rsidP="00DA402B">
      <w:pPr>
        <w:ind w:firstLine="708"/>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Del mismo modo, se </w:t>
      </w:r>
      <w:r w:rsidRPr="00FF4709">
        <w:rPr>
          <w:rFonts w:ascii="Calibri" w:hAnsi="Calibri" w:cs="Calibri"/>
          <w:b/>
          <w:color w:val="7F7F7F" w:themeColor="text1" w:themeTint="80"/>
          <w:sz w:val="26"/>
          <w:szCs w:val="26"/>
        </w:rPr>
        <w:t>ordena</w:t>
      </w:r>
      <w:r>
        <w:rPr>
          <w:rFonts w:ascii="Calibri" w:hAnsi="Calibri" w:cs="Calibri"/>
          <w:color w:val="7F7F7F" w:themeColor="text1" w:themeTint="80"/>
          <w:sz w:val="26"/>
          <w:szCs w:val="26"/>
        </w:rPr>
        <w:t xml:space="preserve"> </w:t>
      </w:r>
      <w:r>
        <w:rPr>
          <w:rFonts w:ascii="Calibri" w:hAnsi="Calibri"/>
          <w:color w:val="7F7F7F" w:themeColor="text1" w:themeTint="80"/>
          <w:sz w:val="26"/>
          <w:szCs w:val="26"/>
        </w:rPr>
        <w:t xml:space="preserve">al Director General de Fiscalización y Control </w:t>
      </w:r>
      <w:r w:rsidRPr="001B55E7">
        <w:rPr>
          <w:rFonts w:ascii="Calibri" w:hAnsi="Calibri"/>
          <w:b/>
          <w:color w:val="7F7F7F" w:themeColor="text1" w:themeTint="80"/>
          <w:sz w:val="26"/>
          <w:szCs w:val="26"/>
        </w:rPr>
        <w:t>solicite</w:t>
      </w:r>
      <w:r>
        <w:rPr>
          <w:rFonts w:ascii="Calibri" w:hAnsi="Calibri"/>
          <w:color w:val="7F7F7F" w:themeColor="text1" w:themeTint="80"/>
          <w:sz w:val="26"/>
          <w:szCs w:val="26"/>
        </w:rPr>
        <w:t xml:space="preserve"> a la Tesorería Municipal </w:t>
      </w:r>
      <w:r w:rsidRPr="001B55E7">
        <w:rPr>
          <w:rFonts w:ascii="Calibri" w:hAnsi="Calibri"/>
          <w:b/>
          <w:color w:val="7F7F7F" w:themeColor="text1" w:themeTint="80"/>
          <w:sz w:val="26"/>
          <w:szCs w:val="26"/>
        </w:rPr>
        <w:t>deje sin efecto</w:t>
      </w:r>
      <w:r>
        <w:rPr>
          <w:rFonts w:ascii="Calibri" w:hAnsi="Calibri"/>
          <w:b/>
          <w:color w:val="7F7F7F" w:themeColor="text1" w:themeTint="80"/>
          <w:sz w:val="26"/>
          <w:szCs w:val="26"/>
        </w:rPr>
        <w:t xml:space="preserve"> </w:t>
      </w:r>
      <w:r>
        <w:rPr>
          <w:rFonts w:ascii="Calibri" w:hAnsi="Calibri"/>
          <w:color w:val="7F7F7F" w:themeColor="text1" w:themeTint="80"/>
          <w:sz w:val="26"/>
          <w:szCs w:val="26"/>
        </w:rPr>
        <w:t xml:space="preserve">el Procedimiento Administrativo de Ejecución que se inició con motivo de la multa impuesta dentro del expediente </w:t>
      </w:r>
      <w:r w:rsidRPr="00FF4709">
        <w:rPr>
          <w:rFonts w:ascii="Calibri" w:hAnsi="Calibri"/>
          <w:color w:val="7F7F7F" w:themeColor="text1" w:themeTint="80"/>
          <w:sz w:val="26"/>
          <w:szCs w:val="26"/>
        </w:rPr>
        <w:t>DGFC/DT/0</w:t>
      </w:r>
      <w:r>
        <w:rPr>
          <w:rFonts w:ascii="Calibri" w:hAnsi="Calibri"/>
          <w:color w:val="7F7F7F" w:themeColor="text1" w:themeTint="80"/>
          <w:sz w:val="26"/>
          <w:szCs w:val="26"/>
        </w:rPr>
        <w:t>600</w:t>
      </w:r>
      <w:r w:rsidRPr="00FF4709">
        <w:rPr>
          <w:rFonts w:ascii="Calibri" w:hAnsi="Calibri"/>
          <w:color w:val="7F7F7F" w:themeColor="text1" w:themeTint="80"/>
          <w:sz w:val="26"/>
          <w:szCs w:val="26"/>
        </w:rPr>
        <w:t>/2015</w:t>
      </w:r>
      <w:r>
        <w:rPr>
          <w:rFonts w:ascii="Calibri" w:hAnsi="Calibri"/>
          <w:color w:val="7F7F7F" w:themeColor="text1" w:themeTint="80"/>
          <w:sz w:val="26"/>
          <w:szCs w:val="26"/>
        </w:rPr>
        <w:t>/</w:t>
      </w:r>
      <w:r w:rsidRPr="00FF4709">
        <w:rPr>
          <w:rFonts w:ascii="Calibri" w:hAnsi="Calibri"/>
          <w:color w:val="7F7F7F" w:themeColor="text1" w:themeTint="80"/>
          <w:sz w:val="26"/>
          <w:szCs w:val="26"/>
        </w:rPr>
        <w:t>JA</w:t>
      </w:r>
      <w:r>
        <w:rPr>
          <w:rFonts w:ascii="Calibri" w:hAnsi="Calibri" w:cs="Calibri"/>
          <w:color w:val="7F7F7F" w:themeColor="text1" w:themeTint="80"/>
          <w:sz w:val="26"/>
          <w:szCs w:val="26"/>
        </w:rPr>
        <w:t xml:space="preserve">, conforme a lo expresado en el mismo Considerando Octavo. . . . . . . . . . . . . . . . </w:t>
      </w:r>
      <w:r w:rsidR="00C873F9">
        <w:rPr>
          <w:rFonts w:ascii="Calibri" w:hAnsi="Calibri" w:cs="Calibri"/>
          <w:color w:val="7F7F7F" w:themeColor="text1" w:themeTint="80"/>
          <w:sz w:val="26"/>
          <w:szCs w:val="26"/>
        </w:rPr>
        <w:t xml:space="preserve">. . . . . . . . . . . . . . . . . . . . . . . . . . . . . . . . . . . </w:t>
      </w:r>
    </w:p>
    <w:p w:rsidR="008E0AB6" w:rsidRPr="00DA402B" w:rsidRDefault="008E0AB6" w:rsidP="00DA402B">
      <w:pPr>
        <w:ind w:firstLine="708"/>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 </w:t>
      </w: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C873F9">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3E" w:rsidRDefault="00A5443E">
      <w:r>
        <w:separator/>
      </w:r>
    </w:p>
  </w:endnote>
  <w:endnote w:type="continuationSeparator" w:id="0">
    <w:p w:rsidR="00A5443E" w:rsidRDefault="00A5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3E" w:rsidRDefault="00A5443E">
      <w:r>
        <w:separator/>
      </w:r>
    </w:p>
  </w:footnote>
  <w:footnote w:type="continuationSeparator" w:id="0">
    <w:p w:rsidR="00A5443E" w:rsidRDefault="00A54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A544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16A9">
      <w:rPr>
        <w:rStyle w:val="Nmerodepgina"/>
        <w:noProof/>
      </w:rPr>
      <w:t>2</w:t>
    </w:r>
    <w:r>
      <w:rPr>
        <w:rStyle w:val="Nmerodepgina"/>
      </w:rPr>
      <w:fldChar w:fldCharType="end"/>
    </w:r>
  </w:p>
  <w:p w:rsidR="00A70119" w:rsidRDefault="00A544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16A3E"/>
    <w:rsid w:val="000314EF"/>
    <w:rsid w:val="00045E04"/>
    <w:rsid w:val="00074B0E"/>
    <w:rsid w:val="000909AE"/>
    <w:rsid w:val="000954F8"/>
    <w:rsid w:val="000C6B3D"/>
    <w:rsid w:val="000D6D33"/>
    <w:rsid w:val="000E019D"/>
    <w:rsid w:val="000F12ED"/>
    <w:rsid w:val="001013F2"/>
    <w:rsid w:val="00114938"/>
    <w:rsid w:val="00134594"/>
    <w:rsid w:val="00140A1C"/>
    <w:rsid w:val="00193C54"/>
    <w:rsid w:val="001A17FE"/>
    <w:rsid w:val="001C1EB4"/>
    <w:rsid w:val="001E492B"/>
    <w:rsid w:val="00202A4D"/>
    <w:rsid w:val="00231AD0"/>
    <w:rsid w:val="00245DB1"/>
    <w:rsid w:val="00252F5A"/>
    <w:rsid w:val="002802A8"/>
    <w:rsid w:val="002912AF"/>
    <w:rsid w:val="002919BC"/>
    <w:rsid w:val="00295DA4"/>
    <w:rsid w:val="002974BB"/>
    <w:rsid w:val="002D4BE0"/>
    <w:rsid w:val="0030185C"/>
    <w:rsid w:val="00343E70"/>
    <w:rsid w:val="00345365"/>
    <w:rsid w:val="00363074"/>
    <w:rsid w:val="0038550B"/>
    <w:rsid w:val="003B1B7D"/>
    <w:rsid w:val="003D0B6B"/>
    <w:rsid w:val="003E62B2"/>
    <w:rsid w:val="0041005A"/>
    <w:rsid w:val="004328C1"/>
    <w:rsid w:val="00436BB1"/>
    <w:rsid w:val="0047616C"/>
    <w:rsid w:val="0047708E"/>
    <w:rsid w:val="00497E26"/>
    <w:rsid w:val="004A1537"/>
    <w:rsid w:val="004A41DC"/>
    <w:rsid w:val="004B3DFC"/>
    <w:rsid w:val="004F6D9F"/>
    <w:rsid w:val="00530F7A"/>
    <w:rsid w:val="00562A66"/>
    <w:rsid w:val="00562F72"/>
    <w:rsid w:val="00577C15"/>
    <w:rsid w:val="005820E3"/>
    <w:rsid w:val="005A1EAD"/>
    <w:rsid w:val="005B1139"/>
    <w:rsid w:val="005B3A38"/>
    <w:rsid w:val="005C1EF8"/>
    <w:rsid w:val="005D15CD"/>
    <w:rsid w:val="006071F6"/>
    <w:rsid w:val="006330F4"/>
    <w:rsid w:val="0064042F"/>
    <w:rsid w:val="00656D08"/>
    <w:rsid w:val="00684197"/>
    <w:rsid w:val="00684D24"/>
    <w:rsid w:val="00685ED2"/>
    <w:rsid w:val="006B0FF3"/>
    <w:rsid w:val="006D41F4"/>
    <w:rsid w:val="006E09E9"/>
    <w:rsid w:val="006E1F7A"/>
    <w:rsid w:val="006E5AA9"/>
    <w:rsid w:val="006F3DF8"/>
    <w:rsid w:val="006F63DA"/>
    <w:rsid w:val="006F74D0"/>
    <w:rsid w:val="0070292F"/>
    <w:rsid w:val="00706056"/>
    <w:rsid w:val="00711C4D"/>
    <w:rsid w:val="0072134A"/>
    <w:rsid w:val="00736742"/>
    <w:rsid w:val="00770C23"/>
    <w:rsid w:val="00781AD6"/>
    <w:rsid w:val="00784CB8"/>
    <w:rsid w:val="007926D3"/>
    <w:rsid w:val="007A1DFC"/>
    <w:rsid w:val="007B3DCF"/>
    <w:rsid w:val="007D67C9"/>
    <w:rsid w:val="007E416A"/>
    <w:rsid w:val="0080464C"/>
    <w:rsid w:val="008063DD"/>
    <w:rsid w:val="00832B72"/>
    <w:rsid w:val="00833B37"/>
    <w:rsid w:val="00834317"/>
    <w:rsid w:val="00882A95"/>
    <w:rsid w:val="008A53D5"/>
    <w:rsid w:val="008A5D63"/>
    <w:rsid w:val="008B535A"/>
    <w:rsid w:val="008B6F66"/>
    <w:rsid w:val="008C282C"/>
    <w:rsid w:val="008C61C6"/>
    <w:rsid w:val="008E0AB6"/>
    <w:rsid w:val="008E3698"/>
    <w:rsid w:val="008F0CF4"/>
    <w:rsid w:val="00920B03"/>
    <w:rsid w:val="00925E32"/>
    <w:rsid w:val="009429E2"/>
    <w:rsid w:val="009466BA"/>
    <w:rsid w:val="00951162"/>
    <w:rsid w:val="00951532"/>
    <w:rsid w:val="009661F2"/>
    <w:rsid w:val="0098360E"/>
    <w:rsid w:val="00992C9C"/>
    <w:rsid w:val="009A23DB"/>
    <w:rsid w:val="009A50BE"/>
    <w:rsid w:val="009A69D8"/>
    <w:rsid w:val="009B4FBA"/>
    <w:rsid w:val="009B6917"/>
    <w:rsid w:val="009E10FA"/>
    <w:rsid w:val="009E15DC"/>
    <w:rsid w:val="009E7A07"/>
    <w:rsid w:val="00A02F6E"/>
    <w:rsid w:val="00A17A21"/>
    <w:rsid w:val="00A217CD"/>
    <w:rsid w:val="00A2439F"/>
    <w:rsid w:val="00A32EE2"/>
    <w:rsid w:val="00A5362F"/>
    <w:rsid w:val="00A5443E"/>
    <w:rsid w:val="00A57007"/>
    <w:rsid w:val="00A66E8D"/>
    <w:rsid w:val="00A8545F"/>
    <w:rsid w:val="00A97819"/>
    <w:rsid w:val="00A97A65"/>
    <w:rsid w:val="00AB7C8F"/>
    <w:rsid w:val="00AC206B"/>
    <w:rsid w:val="00AC308A"/>
    <w:rsid w:val="00AE1A6F"/>
    <w:rsid w:val="00AE3E7D"/>
    <w:rsid w:val="00B05B82"/>
    <w:rsid w:val="00B427DE"/>
    <w:rsid w:val="00B62D66"/>
    <w:rsid w:val="00B65360"/>
    <w:rsid w:val="00B75A23"/>
    <w:rsid w:val="00B75DD6"/>
    <w:rsid w:val="00BE247E"/>
    <w:rsid w:val="00BF0BF6"/>
    <w:rsid w:val="00BF6197"/>
    <w:rsid w:val="00BF71C9"/>
    <w:rsid w:val="00C10076"/>
    <w:rsid w:val="00C10164"/>
    <w:rsid w:val="00C464F2"/>
    <w:rsid w:val="00C46636"/>
    <w:rsid w:val="00C72228"/>
    <w:rsid w:val="00C73B77"/>
    <w:rsid w:val="00C873F9"/>
    <w:rsid w:val="00CA2C14"/>
    <w:rsid w:val="00CE396D"/>
    <w:rsid w:val="00CF7B38"/>
    <w:rsid w:val="00D1202C"/>
    <w:rsid w:val="00D14E8F"/>
    <w:rsid w:val="00D30188"/>
    <w:rsid w:val="00D3626F"/>
    <w:rsid w:val="00D4766E"/>
    <w:rsid w:val="00D61484"/>
    <w:rsid w:val="00D77803"/>
    <w:rsid w:val="00D77B11"/>
    <w:rsid w:val="00DA402B"/>
    <w:rsid w:val="00DB641E"/>
    <w:rsid w:val="00DC0F87"/>
    <w:rsid w:val="00DE0314"/>
    <w:rsid w:val="00DF3DD6"/>
    <w:rsid w:val="00E0072D"/>
    <w:rsid w:val="00E016A9"/>
    <w:rsid w:val="00E16C1B"/>
    <w:rsid w:val="00E31BEB"/>
    <w:rsid w:val="00E36ED9"/>
    <w:rsid w:val="00E50512"/>
    <w:rsid w:val="00E5231A"/>
    <w:rsid w:val="00E54AA9"/>
    <w:rsid w:val="00E77635"/>
    <w:rsid w:val="00E83986"/>
    <w:rsid w:val="00E950DE"/>
    <w:rsid w:val="00E959B2"/>
    <w:rsid w:val="00EA36B8"/>
    <w:rsid w:val="00EA4780"/>
    <w:rsid w:val="00EC7D6A"/>
    <w:rsid w:val="00EE4879"/>
    <w:rsid w:val="00F52045"/>
    <w:rsid w:val="00F54858"/>
    <w:rsid w:val="00F66F59"/>
    <w:rsid w:val="00F933D2"/>
    <w:rsid w:val="00F95EF2"/>
    <w:rsid w:val="00FA04C4"/>
    <w:rsid w:val="00FA79FD"/>
    <w:rsid w:val="00FB6D86"/>
    <w:rsid w:val="00FC2718"/>
    <w:rsid w:val="00FC6D4E"/>
    <w:rsid w:val="00FD5D57"/>
    <w:rsid w:val="00FE044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99636984">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755323167">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99819383">
      <w:bodyDiv w:val="1"/>
      <w:marLeft w:val="0"/>
      <w:marRight w:val="0"/>
      <w:marTop w:val="0"/>
      <w:marBottom w:val="0"/>
      <w:divBdr>
        <w:top w:val="none" w:sz="0" w:space="0" w:color="auto"/>
        <w:left w:val="none" w:sz="0" w:space="0" w:color="auto"/>
        <w:bottom w:val="none" w:sz="0" w:space="0" w:color="auto"/>
        <w:right w:val="none" w:sz="0" w:space="0" w:color="auto"/>
      </w:divBdr>
    </w:div>
    <w:div w:id="11776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4989</Words>
  <Characters>27443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2017-04-27T20:02:00Z</dcterms:created>
  <dcterms:modified xsi:type="dcterms:W3CDTF">2017-04-27T20:02:00Z</dcterms:modified>
</cp:coreProperties>
</file>